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DC9" w:rsidRPr="00D82723" w:rsidRDefault="00800DC9" w:rsidP="00800DC9">
      <w:pPr>
        <w:shd w:val="clear" w:color="auto" w:fill="FFFFFF"/>
        <w:spacing w:line="233" w:lineRule="auto"/>
        <w:ind w:right="14"/>
        <w:jc w:val="both"/>
        <w:rPr>
          <w:sz w:val="20"/>
          <w:szCs w:val="20"/>
        </w:rPr>
      </w:pPr>
      <w:bookmarkStart w:id="0" w:name="_GoBack"/>
      <w:bookmarkEnd w:id="0"/>
      <w:r w:rsidRPr="00A358DA">
        <w:rPr>
          <w:b/>
          <w:spacing w:val="-3"/>
          <w:sz w:val="20"/>
          <w:szCs w:val="20"/>
        </w:rPr>
        <w:t>РЕШЕНИЕ</w:t>
      </w:r>
      <w:r>
        <w:rPr>
          <w:b/>
          <w:spacing w:val="-3"/>
          <w:sz w:val="20"/>
          <w:szCs w:val="20"/>
        </w:rPr>
        <w:t xml:space="preserve"> №5</w:t>
      </w:r>
      <w:r w:rsidRPr="00A358DA">
        <w:rPr>
          <w:b/>
          <w:spacing w:val="-3"/>
          <w:sz w:val="20"/>
          <w:szCs w:val="20"/>
        </w:rPr>
        <w:t>:</w:t>
      </w:r>
      <w:r>
        <w:rPr>
          <w:b/>
          <w:spacing w:val="-3"/>
          <w:sz w:val="20"/>
          <w:szCs w:val="20"/>
        </w:rPr>
        <w:t xml:space="preserve"> </w:t>
      </w:r>
      <w:r w:rsidRPr="00D82723">
        <w:rPr>
          <w:sz w:val="20"/>
          <w:szCs w:val="20"/>
        </w:rPr>
        <w:t>Одобрить заключение Обществом и Банком ВТБ (Публичное акционерное общество) сделки (взаимосвязанных сделок) беспоставочный форвард на акции (далее – «Расчетный форвард» или «Сделка»), в совершении которой имеется заинтересованность</w:t>
      </w:r>
      <w:r>
        <w:rPr>
          <w:sz w:val="20"/>
          <w:szCs w:val="20"/>
        </w:rPr>
        <w:t>,</w:t>
      </w:r>
      <w:r w:rsidRPr="00D82723">
        <w:rPr>
          <w:sz w:val="20"/>
          <w:szCs w:val="20"/>
        </w:rPr>
        <w:t xml:space="preserve">  на следующих существенных условиях:</w:t>
      </w:r>
    </w:p>
    <w:p w:rsidR="00800DC9" w:rsidRPr="00D82723" w:rsidRDefault="00800DC9" w:rsidP="00800DC9">
      <w:pPr>
        <w:shd w:val="clear" w:color="auto" w:fill="FFFFFF"/>
        <w:spacing w:line="233" w:lineRule="auto"/>
        <w:ind w:right="14" w:firstLine="708"/>
        <w:jc w:val="both"/>
        <w:rPr>
          <w:b/>
          <w:sz w:val="20"/>
          <w:szCs w:val="20"/>
        </w:rPr>
      </w:pPr>
      <w:r w:rsidRPr="00D82723">
        <w:rPr>
          <w:b/>
          <w:sz w:val="20"/>
          <w:szCs w:val="20"/>
        </w:rPr>
        <w:t>Стороны Сделки:</w:t>
      </w:r>
    </w:p>
    <w:p w:rsidR="00800DC9" w:rsidRPr="00D82723" w:rsidRDefault="00800DC9" w:rsidP="00800DC9">
      <w:pPr>
        <w:shd w:val="clear" w:color="auto" w:fill="FFFFFF"/>
        <w:spacing w:line="233" w:lineRule="auto"/>
        <w:ind w:right="14" w:firstLine="708"/>
        <w:jc w:val="both"/>
        <w:rPr>
          <w:sz w:val="20"/>
          <w:szCs w:val="20"/>
        </w:rPr>
      </w:pPr>
      <w:r w:rsidRPr="00D82723">
        <w:rPr>
          <w:sz w:val="20"/>
          <w:szCs w:val="20"/>
        </w:rPr>
        <w:t xml:space="preserve">Продавец </w:t>
      </w:r>
      <w:r>
        <w:rPr>
          <w:sz w:val="20"/>
          <w:szCs w:val="20"/>
        </w:rPr>
        <w:t>–</w:t>
      </w:r>
      <w:r w:rsidRPr="00D82723">
        <w:rPr>
          <w:sz w:val="20"/>
          <w:szCs w:val="20"/>
        </w:rPr>
        <w:t xml:space="preserve"> Банк ВТБ (Публичное акционерное общество);</w:t>
      </w:r>
    </w:p>
    <w:p w:rsidR="00800DC9" w:rsidRPr="00D82723" w:rsidRDefault="00800DC9" w:rsidP="00800DC9">
      <w:pPr>
        <w:shd w:val="clear" w:color="auto" w:fill="FFFFFF"/>
        <w:spacing w:line="233" w:lineRule="auto"/>
        <w:ind w:right="14" w:firstLine="708"/>
        <w:jc w:val="both"/>
        <w:rPr>
          <w:sz w:val="20"/>
          <w:szCs w:val="20"/>
        </w:rPr>
      </w:pPr>
      <w:r>
        <w:rPr>
          <w:sz w:val="20"/>
          <w:szCs w:val="20"/>
        </w:rPr>
        <w:t>Покупатель –</w:t>
      </w:r>
      <w:r w:rsidRPr="00D82723">
        <w:rPr>
          <w:sz w:val="20"/>
          <w:szCs w:val="20"/>
        </w:rPr>
        <w:t xml:space="preserve"> Публичное акционерное общество «Федеральная гидрогенерирующая компания – РусГидро»;</w:t>
      </w:r>
    </w:p>
    <w:p w:rsidR="00800DC9" w:rsidRPr="00D82723" w:rsidRDefault="00800DC9" w:rsidP="00800DC9">
      <w:pPr>
        <w:shd w:val="clear" w:color="auto" w:fill="FFFFFF"/>
        <w:spacing w:line="233" w:lineRule="auto"/>
        <w:ind w:right="14" w:firstLine="708"/>
        <w:jc w:val="both"/>
        <w:rPr>
          <w:sz w:val="20"/>
          <w:szCs w:val="20"/>
        </w:rPr>
      </w:pPr>
      <w:r w:rsidRPr="00D82723">
        <w:rPr>
          <w:b/>
          <w:sz w:val="20"/>
          <w:szCs w:val="20"/>
        </w:rPr>
        <w:t>Предмет Сделки:</w:t>
      </w:r>
      <w:r w:rsidRPr="00D82723">
        <w:rPr>
          <w:sz w:val="20"/>
          <w:szCs w:val="20"/>
        </w:rPr>
        <w:t xml:space="preserve"> </w:t>
      </w:r>
    </w:p>
    <w:p w:rsidR="00800DC9" w:rsidRPr="00D82723" w:rsidRDefault="00800DC9" w:rsidP="00800DC9">
      <w:pPr>
        <w:shd w:val="clear" w:color="auto" w:fill="FFFFFF"/>
        <w:spacing w:line="233" w:lineRule="auto"/>
        <w:ind w:right="14" w:firstLine="708"/>
        <w:jc w:val="both"/>
        <w:rPr>
          <w:sz w:val="20"/>
          <w:szCs w:val="20"/>
        </w:rPr>
      </w:pPr>
      <w:r w:rsidRPr="00D82723">
        <w:rPr>
          <w:sz w:val="20"/>
          <w:szCs w:val="20"/>
        </w:rPr>
        <w:t xml:space="preserve">Продавец обязуется уплатить Покупателю сумму платежа при ее положительном значении, а Покупатель обязуется уплатить Продавцу абсолютное значение суммы платежа при ее отрицательном значении. Порядок расчета суммы платежа указан в пункте «Цена сделки» ниже. </w:t>
      </w:r>
    </w:p>
    <w:p w:rsidR="00800DC9" w:rsidRPr="00D82723" w:rsidRDefault="00800DC9" w:rsidP="00800DC9">
      <w:pPr>
        <w:shd w:val="clear" w:color="auto" w:fill="FFFFFF"/>
        <w:spacing w:line="233" w:lineRule="auto"/>
        <w:ind w:right="14" w:firstLine="708"/>
        <w:jc w:val="both"/>
        <w:rPr>
          <w:b/>
          <w:sz w:val="20"/>
          <w:szCs w:val="20"/>
        </w:rPr>
      </w:pPr>
      <w:r w:rsidRPr="00D82723">
        <w:rPr>
          <w:b/>
          <w:sz w:val="20"/>
          <w:szCs w:val="20"/>
        </w:rPr>
        <w:t>Цена Сделки:</w:t>
      </w:r>
    </w:p>
    <w:p w:rsidR="00800DC9" w:rsidRPr="00D82723" w:rsidRDefault="00800DC9" w:rsidP="00800DC9">
      <w:pPr>
        <w:shd w:val="clear" w:color="auto" w:fill="FFFFFF"/>
        <w:spacing w:line="233" w:lineRule="auto"/>
        <w:ind w:right="14" w:firstLine="708"/>
        <w:jc w:val="both"/>
        <w:rPr>
          <w:b/>
          <w:sz w:val="20"/>
          <w:szCs w:val="20"/>
        </w:rPr>
      </w:pPr>
      <w:r w:rsidRPr="00D82723">
        <w:rPr>
          <w:sz w:val="20"/>
          <w:szCs w:val="20"/>
        </w:rPr>
        <w:t>Ценой сделки Расчетного форварда является сумма платежа, подлежащая уплате Продавцом или Покупателем и рассчитываемая следующим образом:</w:t>
      </w:r>
    </w:p>
    <w:p w:rsidR="00800DC9" w:rsidRPr="004A7B0E" w:rsidRDefault="00800DC9" w:rsidP="00800DC9">
      <w:pPr>
        <w:shd w:val="clear" w:color="auto" w:fill="FFFFFF"/>
        <w:spacing w:line="233" w:lineRule="auto"/>
        <w:ind w:right="14" w:firstLine="708"/>
        <w:jc w:val="both"/>
        <w:rPr>
          <w:sz w:val="20"/>
        </w:rPr>
      </w:pPr>
      <w:r w:rsidRPr="00D82723">
        <w:rPr>
          <w:sz w:val="20"/>
          <w:szCs w:val="20"/>
        </w:rPr>
        <w:t>Произведение положительной или отрицательной разности Расчетной цены (уменьшаемое) и Форвардной цены (вычитаемое) на количество акций, являющихся базовым активом по Сделке – акций ПАО «РусГидро» в количестве не более 85 000 000 000 (Восьмидесяти пяти миллиардов) штук. Абсолютное значение суммы платежа подлежит уплате ПАО «РусГидро» в адрес Банка ВТБ (ПАО) в случае, если сумма платежа имеет отрицательное значение. Сумма платежа подлежит уплате Банком ВТБ (ПАО) в адрес ПАО «РусГидро» в случае, если она имеет положительное значение;</w:t>
      </w:r>
    </w:p>
    <w:tbl>
      <w:tblPr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6946"/>
      </w:tblGrid>
      <w:tr w:rsidR="00800DC9" w:rsidRPr="00D82723" w:rsidTr="00260BE7">
        <w:trPr>
          <w:trHeight w:val="224"/>
        </w:trPr>
        <w:tc>
          <w:tcPr>
            <w:tcW w:w="2836" w:type="dxa"/>
          </w:tcPr>
          <w:p w:rsidR="00800DC9" w:rsidRPr="00D82723" w:rsidRDefault="00800DC9" w:rsidP="00260BE7">
            <w:pPr>
              <w:shd w:val="clear" w:color="auto" w:fill="FFFFFF"/>
              <w:spacing w:line="233" w:lineRule="auto"/>
              <w:ind w:right="14"/>
              <w:jc w:val="both"/>
              <w:rPr>
                <w:b/>
                <w:sz w:val="20"/>
                <w:szCs w:val="20"/>
              </w:rPr>
            </w:pPr>
            <w:r w:rsidRPr="00D82723">
              <w:rPr>
                <w:sz w:val="20"/>
                <w:szCs w:val="20"/>
              </w:rPr>
              <w:t>Форвардная цена (за одну акцию)</w:t>
            </w:r>
          </w:p>
        </w:tc>
        <w:tc>
          <w:tcPr>
            <w:tcW w:w="6946" w:type="dxa"/>
          </w:tcPr>
          <w:p w:rsidR="00800DC9" w:rsidRPr="00D82723" w:rsidRDefault="00800DC9" w:rsidP="00260BE7">
            <w:pPr>
              <w:shd w:val="clear" w:color="auto" w:fill="FFFFFF"/>
              <w:spacing w:line="233" w:lineRule="auto"/>
              <w:ind w:right="14"/>
              <w:jc w:val="both"/>
              <w:rPr>
                <w:sz w:val="20"/>
                <w:szCs w:val="20"/>
              </w:rPr>
            </w:pPr>
            <w:r w:rsidRPr="00D82723">
              <w:rPr>
                <w:sz w:val="20"/>
                <w:szCs w:val="20"/>
              </w:rPr>
              <w:t xml:space="preserve">Сумма номинальной стоимости одной акции базового актива по </w:t>
            </w:r>
            <w:r>
              <w:rPr>
                <w:sz w:val="20"/>
                <w:szCs w:val="20"/>
              </w:rPr>
              <w:t>С</w:t>
            </w:r>
            <w:r w:rsidRPr="00D82723">
              <w:rPr>
                <w:sz w:val="20"/>
                <w:szCs w:val="20"/>
              </w:rPr>
              <w:t>делке и начислений на номинальную стоимость одной акции по Форвардной ставке за период действия Расчетного форварда (начисления производятся с учетом положений о Капитализации Форвардной ставки ниже, включая возможные промежуточные выплаты)</w:t>
            </w:r>
            <w:r w:rsidRPr="00D82723" w:rsidDel="00F20570">
              <w:rPr>
                <w:sz w:val="20"/>
                <w:szCs w:val="20"/>
              </w:rPr>
              <w:t xml:space="preserve"> </w:t>
            </w:r>
          </w:p>
        </w:tc>
      </w:tr>
      <w:tr w:rsidR="00800DC9" w:rsidRPr="00D82723" w:rsidTr="00260BE7">
        <w:trPr>
          <w:trHeight w:val="224"/>
        </w:trPr>
        <w:tc>
          <w:tcPr>
            <w:tcW w:w="2836" w:type="dxa"/>
          </w:tcPr>
          <w:p w:rsidR="00800DC9" w:rsidRPr="00D82723" w:rsidRDefault="00800DC9" w:rsidP="00260BE7">
            <w:pPr>
              <w:shd w:val="clear" w:color="auto" w:fill="FFFFFF"/>
              <w:spacing w:line="233" w:lineRule="auto"/>
              <w:ind w:right="14"/>
              <w:jc w:val="both"/>
              <w:rPr>
                <w:sz w:val="20"/>
                <w:szCs w:val="20"/>
              </w:rPr>
            </w:pPr>
            <w:r w:rsidRPr="00D82723">
              <w:rPr>
                <w:sz w:val="20"/>
                <w:szCs w:val="20"/>
              </w:rPr>
              <w:t>Форвардная ставка</w:t>
            </w:r>
          </w:p>
        </w:tc>
        <w:tc>
          <w:tcPr>
            <w:tcW w:w="6946" w:type="dxa"/>
          </w:tcPr>
          <w:p w:rsidR="00800DC9" w:rsidRPr="00D82723" w:rsidRDefault="00800DC9" w:rsidP="00260BE7">
            <w:pPr>
              <w:shd w:val="clear" w:color="auto" w:fill="FFFFFF"/>
              <w:spacing w:line="233" w:lineRule="auto"/>
              <w:ind w:right="14"/>
              <w:jc w:val="both"/>
              <w:rPr>
                <w:sz w:val="20"/>
                <w:szCs w:val="20"/>
              </w:rPr>
            </w:pPr>
            <w:r w:rsidRPr="00D82723">
              <w:rPr>
                <w:sz w:val="20"/>
                <w:szCs w:val="20"/>
              </w:rPr>
              <w:t>Величина в процентах годовых, не более чем на 3,3 (Три целых и три десятых) процентных пункта превышающая среднеарифметическое значение ключевой ставки Банка России в течение соответствующего периода начисления.</w:t>
            </w:r>
          </w:p>
          <w:p w:rsidR="00800DC9" w:rsidRPr="00D82723" w:rsidRDefault="00800DC9" w:rsidP="00260BE7">
            <w:pPr>
              <w:shd w:val="clear" w:color="auto" w:fill="FFFFFF"/>
              <w:spacing w:line="233" w:lineRule="auto"/>
              <w:ind w:right="14"/>
              <w:jc w:val="both"/>
              <w:rPr>
                <w:sz w:val="20"/>
                <w:szCs w:val="20"/>
              </w:rPr>
            </w:pPr>
            <w:r w:rsidRPr="00D82723">
              <w:rPr>
                <w:sz w:val="20"/>
                <w:szCs w:val="20"/>
              </w:rPr>
              <w:t>В случае отмены ключевой ставки Банка России для определения ценовых условий предоставления финансирования кредитным организациям Российской Федерации Форвардная ставка равна величине в процентах годовых, не более чем на 3,3 (Три целых и три десятых) процентных пункта превышающей среднеарифметическое значение ставки, аналогичной  ключевой ставке Банка России, устанавливаемой Банком России для ценообразования операций рефинансирования посредством сделок РЕПО.</w:t>
            </w:r>
          </w:p>
        </w:tc>
      </w:tr>
      <w:tr w:rsidR="00800DC9" w:rsidRPr="00D82723" w:rsidTr="00260BE7">
        <w:trPr>
          <w:trHeight w:val="224"/>
        </w:trPr>
        <w:tc>
          <w:tcPr>
            <w:tcW w:w="2836" w:type="dxa"/>
          </w:tcPr>
          <w:p w:rsidR="00800DC9" w:rsidRPr="00D82723" w:rsidRDefault="00800DC9" w:rsidP="00260BE7">
            <w:pPr>
              <w:shd w:val="clear" w:color="auto" w:fill="FFFFFF"/>
              <w:spacing w:line="233" w:lineRule="auto"/>
              <w:ind w:right="14"/>
              <w:jc w:val="both"/>
              <w:rPr>
                <w:sz w:val="20"/>
                <w:szCs w:val="20"/>
              </w:rPr>
            </w:pPr>
            <w:r w:rsidRPr="00D82723">
              <w:rPr>
                <w:sz w:val="20"/>
                <w:szCs w:val="20"/>
              </w:rPr>
              <w:t>Период действия Расчетного форварда</w:t>
            </w:r>
          </w:p>
        </w:tc>
        <w:tc>
          <w:tcPr>
            <w:tcW w:w="6946" w:type="dxa"/>
          </w:tcPr>
          <w:p w:rsidR="00800DC9" w:rsidRPr="00D82723" w:rsidRDefault="00800DC9" w:rsidP="00260BE7">
            <w:pPr>
              <w:shd w:val="clear" w:color="auto" w:fill="FFFFFF"/>
              <w:spacing w:line="233" w:lineRule="auto"/>
              <w:ind w:right="14"/>
              <w:jc w:val="both"/>
              <w:rPr>
                <w:sz w:val="20"/>
                <w:szCs w:val="20"/>
              </w:rPr>
            </w:pPr>
            <w:r w:rsidRPr="00D82723">
              <w:rPr>
                <w:sz w:val="20"/>
                <w:szCs w:val="20"/>
              </w:rPr>
              <w:t>5 лет</w:t>
            </w:r>
          </w:p>
        </w:tc>
      </w:tr>
      <w:tr w:rsidR="00800DC9" w:rsidRPr="00D82723" w:rsidTr="00260BE7">
        <w:trPr>
          <w:trHeight w:val="224"/>
        </w:trPr>
        <w:tc>
          <w:tcPr>
            <w:tcW w:w="2836" w:type="dxa"/>
          </w:tcPr>
          <w:p w:rsidR="00800DC9" w:rsidRPr="00D82723" w:rsidRDefault="00800DC9" w:rsidP="00260BE7">
            <w:pPr>
              <w:shd w:val="clear" w:color="auto" w:fill="FFFFFF"/>
              <w:spacing w:line="233" w:lineRule="auto"/>
              <w:ind w:right="14"/>
              <w:jc w:val="both"/>
              <w:rPr>
                <w:sz w:val="20"/>
                <w:szCs w:val="20"/>
              </w:rPr>
            </w:pPr>
            <w:r w:rsidRPr="00D82723">
              <w:rPr>
                <w:sz w:val="20"/>
                <w:szCs w:val="20"/>
              </w:rPr>
              <w:t>Капитализация Форвардной ставки</w:t>
            </w:r>
          </w:p>
        </w:tc>
        <w:tc>
          <w:tcPr>
            <w:tcW w:w="6946" w:type="dxa"/>
          </w:tcPr>
          <w:p w:rsidR="00800DC9" w:rsidRPr="00D82723" w:rsidRDefault="00800DC9" w:rsidP="00260BE7">
            <w:pPr>
              <w:shd w:val="clear" w:color="auto" w:fill="FFFFFF"/>
              <w:spacing w:line="233" w:lineRule="auto"/>
              <w:ind w:right="14"/>
              <w:jc w:val="both"/>
              <w:rPr>
                <w:sz w:val="20"/>
                <w:szCs w:val="20"/>
              </w:rPr>
            </w:pPr>
            <w:r w:rsidRPr="00D82723">
              <w:rPr>
                <w:sz w:val="20"/>
                <w:szCs w:val="20"/>
              </w:rPr>
              <w:t xml:space="preserve">Сумма начисленной и неуплаченной Форвардной ставки ежеквартально суммируется с номинальной стоимостью базового актива по </w:t>
            </w:r>
            <w:r>
              <w:rPr>
                <w:sz w:val="20"/>
                <w:szCs w:val="20"/>
              </w:rPr>
              <w:t>С</w:t>
            </w:r>
            <w:r w:rsidRPr="00D82723">
              <w:rPr>
                <w:sz w:val="20"/>
                <w:szCs w:val="20"/>
              </w:rPr>
              <w:t>делке для целей начисления Форвардной ставки будущих периодов.</w:t>
            </w:r>
          </w:p>
          <w:p w:rsidR="00800DC9" w:rsidRPr="00D82723" w:rsidRDefault="00800DC9" w:rsidP="00260BE7">
            <w:pPr>
              <w:shd w:val="clear" w:color="auto" w:fill="FFFFFF"/>
              <w:spacing w:line="233" w:lineRule="auto"/>
              <w:ind w:right="14"/>
              <w:jc w:val="both"/>
              <w:rPr>
                <w:sz w:val="20"/>
                <w:szCs w:val="20"/>
              </w:rPr>
            </w:pPr>
            <w:r w:rsidRPr="00D82723">
              <w:rPr>
                <w:sz w:val="20"/>
                <w:szCs w:val="20"/>
              </w:rPr>
              <w:t>Если промежуточные выплаты производятся, то Форвардная ставка не капитализируется.</w:t>
            </w:r>
          </w:p>
        </w:tc>
      </w:tr>
      <w:tr w:rsidR="00800DC9" w:rsidRPr="00D82723" w:rsidTr="00260BE7">
        <w:trPr>
          <w:trHeight w:val="224"/>
        </w:trPr>
        <w:tc>
          <w:tcPr>
            <w:tcW w:w="2836" w:type="dxa"/>
          </w:tcPr>
          <w:p w:rsidR="00800DC9" w:rsidRPr="00D82723" w:rsidRDefault="00800DC9" w:rsidP="00260BE7">
            <w:pPr>
              <w:shd w:val="clear" w:color="auto" w:fill="FFFFFF"/>
              <w:spacing w:line="233" w:lineRule="auto"/>
              <w:ind w:right="14"/>
              <w:jc w:val="both"/>
              <w:rPr>
                <w:sz w:val="20"/>
                <w:szCs w:val="20"/>
              </w:rPr>
            </w:pPr>
            <w:r w:rsidRPr="00D82723">
              <w:rPr>
                <w:sz w:val="20"/>
                <w:szCs w:val="20"/>
              </w:rPr>
              <w:t>Расчетная цена (за одну акцию)</w:t>
            </w:r>
          </w:p>
        </w:tc>
        <w:tc>
          <w:tcPr>
            <w:tcW w:w="6946" w:type="dxa"/>
          </w:tcPr>
          <w:p w:rsidR="00800DC9" w:rsidRPr="00D82723" w:rsidRDefault="00800DC9" w:rsidP="00260BE7">
            <w:pPr>
              <w:shd w:val="clear" w:color="auto" w:fill="FFFFFF"/>
              <w:spacing w:line="233" w:lineRule="auto"/>
              <w:ind w:right="14"/>
              <w:jc w:val="both"/>
              <w:rPr>
                <w:sz w:val="20"/>
                <w:szCs w:val="20"/>
              </w:rPr>
            </w:pPr>
            <w:r w:rsidRPr="00D82723">
              <w:rPr>
                <w:sz w:val="20"/>
                <w:szCs w:val="20"/>
              </w:rPr>
              <w:t xml:space="preserve">Расчетная цена за одну акцию базового актива по </w:t>
            </w:r>
            <w:r>
              <w:rPr>
                <w:sz w:val="20"/>
                <w:szCs w:val="20"/>
              </w:rPr>
              <w:t>С</w:t>
            </w:r>
            <w:r w:rsidRPr="00D82723">
              <w:rPr>
                <w:sz w:val="20"/>
                <w:szCs w:val="20"/>
              </w:rPr>
              <w:t>делке определяется как совокупное средневзвешенное значение цен за одну акцию ПАО «РусГидро», полученное исходя из совокупности лучших котировок, полученных расчетным агентом (Банк ВТБ (ПАО</w:t>
            </w:r>
            <w:r>
              <w:rPr>
                <w:sz w:val="20"/>
                <w:szCs w:val="20"/>
              </w:rPr>
              <w:t>)</w:t>
            </w:r>
            <w:r w:rsidRPr="00D82723">
              <w:rPr>
                <w:sz w:val="20"/>
                <w:szCs w:val="20"/>
              </w:rPr>
              <w:t xml:space="preserve">) за часть пакета акций, составляющих базовый актив по </w:t>
            </w:r>
            <w:r>
              <w:rPr>
                <w:sz w:val="20"/>
                <w:szCs w:val="20"/>
              </w:rPr>
              <w:t>С</w:t>
            </w:r>
            <w:r w:rsidRPr="00D82723">
              <w:rPr>
                <w:sz w:val="20"/>
                <w:szCs w:val="20"/>
              </w:rPr>
              <w:t>делке, от участников рынка, и (или) по итогам аукциона, и (или) как рыночная стоимость, определенная независимым оценщиком.</w:t>
            </w:r>
          </w:p>
        </w:tc>
      </w:tr>
      <w:tr w:rsidR="00800DC9" w:rsidRPr="00D82723" w:rsidTr="00260BE7">
        <w:trPr>
          <w:trHeight w:val="224"/>
        </w:trPr>
        <w:tc>
          <w:tcPr>
            <w:tcW w:w="2836" w:type="dxa"/>
          </w:tcPr>
          <w:p w:rsidR="00800DC9" w:rsidRPr="00D82723" w:rsidRDefault="00800DC9" w:rsidP="00260BE7">
            <w:pPr>
              <w:shd w:val="clear" w:color="auto" w:fill="FFFFFF"/>
              <w:spacing w:line="233" w:lineRule="auto"/>
              <w:ind w:right="14"/>
              <w:jc w:val="both"/>
              <w:rPr>
                <w:sz w:val="20"/>
                <w:szCs w:val="20"/>
              </w:rPr>
            </w:pPr>
            <w:r w:rsidRPr="00D82723">
              <w:rPr>
                <w:sz w:val="20"/>
                <w:szCs w:val="20"/>
              </w:rPr>
              <w:t>Дата оценки</w:t>
            </w:r>
          </w:p>
        </w:tc>
        <w:tc>
          <w:tcPr>
            <w:tcW w:w="6946" w:type="dxa"/>
          </w:tcPr>
          <w:p w:rsidR="00800DC9" w:rsidRPr="00D82723" w:rsidRDefault="00800DC9" w:rsidP="00260BE7">
            <w:pPr>
              <w:shd w:val="clear" w:color="auto" w:fill="FFFFFF"/>
              <w:spacing w:line="233" w:lineRule="auto"/>
              <w:ind w:right="14"/>
              <w:jc w:val="both"/>
              <w:rPr>
                <w:sz w:val="20"/>
                <w:szCs w:val="20"/>
              </w:rPr>
            </w:pPr>
            <w:r w:rsidRPr="00D82723">
              <w:rPr>
                <w:sz w:val="20"/>
                <w:szCs w:val="20"/>
              </w:rPr>
              <w:t>Не позднее 5 лет с даты заключения Сделки</w:t>
            </w:r>
          </w:p>
        </w:tc>
      </w:tr>
    </w:tbl>
    <w:p w:rsidR="00800DC9" w:rsidRPr="00D82723" w:rsidRDefault="00800DC9" w:rsidP="00800DC9">
      <w:pPr>
        <w:shd w:val="clear" w:color="auto" w:fill="FFFFFF"/>
        <w:spacing w:line="233" w:lineRule="auto"/>
        <w:ind w:right="14" w:firstLine="708"/>
        <w:jc w:val="both"/>
        <w:rPr>
          <w:sz w:val="20"/>
          <w:szCs w:val="20"/>
        </w:rPr>
      </w:pPr>
      <w:r w:rsidRPr="00D82723">
        <w:rPr>
          <w:b/>
          <w:sz w:val="20"/>
          <w:szCs w:val="20"/>
        </w:rPr>
        <w:t>Способ расчета:</w:t>
      </w:r>
      <w:r w:rsidRPr="00D82723">
        <w:rPr>
          <w:sz w:val="20"/>
          <w:szCs w:val="20"/>
        </w:rPr>
        <w:t xml:space="preserve"> денежные средства.</w:t>
      </w:r>
    </w:p>
    <w:p w:rsidR="00800DC9" w:rsidRPr="00D82723" w:rsidRDefault="00800DC9" w:rsidP="00800DC9">
      <w:pPr>
        <w:shd w:val="clear" w:color="auto" w:fill="FFFFFF"/>
        <w:spacing w:line="233" w:lineRule="auto"/>
        <w:ind w:right="14" w:firstLine="708"/>
        <w:jc w:val="both"/>
        <w:rPr>
          <w:b/>
          <w:sz w:val="20"/>
          <w:szCs w:val="20"/>
        </w:rPr>
      </w:pPr>
      <w:r w:rsidRPr="00D82723">
        <w:rPr>
          <w:b/>
          <w:sz w:val="20"/>
          <w:szCs w:val="20"/>
        </w:rPr>
        <w:t>Акции (базовый актив):</w:t>
      </w:r>
    </w:p>
    <w:p w:rsidR="00800DC9" w:rsidRPr="00D82723" w:rsidRDefault="00800DC9" w:rsidP="00800DC9">
      <w:pPr>
        <w:shd w:val="clear" w:color="auto" w:fill="FFFFFF"/>
        <w:spacing w:line="233" w:lineRule="auto"/>
        <w:ind w:right="14" w:firstLine="708"/>
        <w:jc w:val="both"/>
        <w:rPr>
          <w:sz w:val="20"/>
          <w:szCs w:val="20"/>
        </w:rPr>
      </w:pPr>
      <w:r w:rsidRPr="00D82723">
        <w:rPr>
          <w:sz w:val="20"/>
          <w:szCs w:val="20"/>
        </w:rPr>
        <w:t>Акции Публичного акционерного общества «Федеральная гидрогенерирующая компания – РусГидро» именные обыкновенные бездокументарные, номинальной стоимостью 1 рубль каждая государственный регистрационный номер выпуска ценных бумаг и дата его государственной регистрации: 1-01-55038-Е от 22.02.2005, а равно дополнительные акции ПАО «РусГидро».</w:t>
      </w:r>
    </w:p>
    <w:p w:rsidR="00800DC9" w:rsidRPr="00D82723" w:rsidRDefault="00800DC9" w:rsidP="00800DC9">
      <w:pPr>
        <w:shd w:val="clear" w:color="auto" w:fill="FFFFFF"/>
        <w:spacing w:line="233" w:lineRule="auto"/>
        <w:ind w:right="14" w:firstLine="708"/>
        <w:jc w:val="both"/>
        <w:rPr>
          <w:sz w:val="20"/>
          <w:szCs w:val="20"/>
        </w:rPr>
      </w:pPr>
      <w:r w:rsidRPr="00D82723">
        <w:rPr>
          <w:b/>
          <w:sz w:val="20"/>
          <w:szCs w:val="20"/>
        </w:rPr>
        <w:t>Количество акций:</w:t>
      </w:r>
      <w:r w:rsidRPr="00D82723">
        <w:rPr>
          <w:sz w:val="20"/>
          <w:szCs w:val="20"/>
        </w:rPr>
        <w:t xml:space="preserve"> </w:t>
      </w:r>
    </w:p>
    <w:p w:rsidR="00800DC9" w:rsidRPr="00D82723" w:rsidRDefault="00800DC9" w:rsidP="00800DC9">
      <w:pPr>
        <w:shd w:val="clear" w:color="auto" w:fill="FFFFFF"/>
        <w:spacing w:line="233" w:lineRule="auto"/>
        <w:ind w:right="14" w:firstLine="708"/>
        <w:jc w:val="both"/>
        <w:rPr>
          <w:sz w:val="20"/>
          <w:szCs w:val="20"/>
        </w:rPr>
      </w:pPr>
      <w:r w:rsidRPr="00D82723">
        <w:rPr>
          <w:sz w:val="20"/>
          <w:szCs w:val="20"/>
        </w:rPr>
        <w:t>Не более 85 000 000 000 (восемьдесят пять миллиардов) акций.</w:t>
      </w:r>
    </w:p>
    <w:p w:rsidR="00692D04" w:rsidRDefault="00800DC9" w:rsidP="00800DC9">
      <w:r w:rsidRPr="00D82723">
        <w:rPr>
          <w:b/>
          <w:sz w:val="20"/>
          <w:szCs w:val="20"/>
        </w:rPr>
        <w:t xml:space="preserve">Срок Сделки: </w:t>
      </w:r>
      <w:r>
        <w:rPr>
          <w:sz w:val="20"/>
          <w:szCs w:val="20"/>
        </w:rPr>
        <w:t>5 лет</w:t>
      </w:r>
      <w:r w:rsidRPr="00E93A9F">
        <w:rPr>
          <w:sz w:val="20"/>
          <w:szCs w:val="20"/>
        </w:rPr>
        <w:t>.</w:t>
      </w:r>
    </w:p>
    <w:sectPr w:rsidR="00692D04" w:rsidSect="00692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DC9"/>
    <w:rsid w:val="00692D04"/>
    <w:rsid w:val="007D7CAB"/>
    <w:rsid w:val="00800DC9"/>
    <w:rsid w:val="00BF5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565</Words>
  <Characters>3221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stratichuk</dc:creator>
  <cp:lastModifiedBy>Зенцова Наталья Александровна</cp:lastModifiedBy>
  <cp:revision>2</cp:revision>
  <dcterms:created xsi:type="dcterms:W3CDTF">2015-11-25T12:41:00Z</dcterms:created>
  <dcterms:modified xsi:type="dcterms:W3CDTF">2015-11-25T12:41:00Z</dcterms:modified>
</cp:coreProperties>
</file>